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3E71F" w14:textId="77777777" w:rsidR="002151FE" w:rsidRDefault="002151FE" w:rsidP="002151FE">
      <w:pPr>
        <w:ind w:firstLine="720"/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Prilog 1</w:t>
      </w:r>
    </w:p>
    <w:p w14:paraId="275665E8" w14:textId="77777777" w:rsidR="002151FE" w:rsidRDefault="002151FE" w:rsidP="00920635">
      <w:pPr>
        <w:ind w:firstLine="720"/>
        <w:jc w:val="both"/>
        <w:rPr>
          <w:rFonts w:ascii="Arial" w:hAnsi="Arial" w:cs="Arial"/>
          <w:sz w:val="23"/>
          <w:szCs w:val="23"/>
        </w:rPr>
      </w:pPr>
    </w:p>
    <w:p w14:paraId="3890405C" w14:textId="77777777" w:rsidR="002151FE" w:rsidRDefault="002151FE" w:rsidP="002151FE">
      <w:pPr>
        <w:jc w:val="center"/>
        <w:rPr>
          <w:rFonts w:ascii="Arial" w:hAnsi="Arial" w:cs="Arial"/>
          <w:b/>
          <w:sz w:val="23"/>
          <w:szCs w:val="23"/>
        </w:rPr>
      </w:pPr>
      <w:r w:rsidRPr="008B103F">
        <w:rPr>
          <w:rFonts w:ascii="Arial" w:hAnsi="Arial" w:cs="Arial"/>
          <w:b/>
          <w:sz w:val="23"/>
          <w:szCs w:val="23"/>
        </w:rPr>
        <w:t xml:space="preserve">Kontni okvir za </w:t>
      </w:r>
      <w:r>
        <w:rPr>
          <w:rFonts w:ascii="Arial" w:hAnsi="Arial" w:cs="Arial"/>
          <w:b/>
          <w:sz w:val="23"/>
          <w:szCs w:val="23"/>
        </w:rPr>
        <w:t>alternativne investicione</w:t>
      </w:r>
      <w:r w:rsidRPr="008B103F">
        <w:rPr>
          <w:rFonts w:ascii="Arial" w:hAnsi="Arial" w:cs="Arial"/>
          <w:b/>
          <w:sz w:val="23"/>
          <w:szCs w:val="23"/>
        </w:rPr>
        <w:t xml:space="preserve"> fondove</w:t>
      </w:r>
    </w:p>
    <w:p w14:paraId="1101E36A" w14:textId="77777777" w:rsidR="002151FE" w:rsidRDefault="002151FE" w:rsidP="002151FE">
      <w:pPr>
        <w:jc w:val="both"/>
        <w:rPr>
          <w:rFonts w:ascii="Arial" w:hAnsi="Arial" w:cs="Arial"/>
          <w:b/>
          <w:sz w:val="23"/>
          <w:szCs w:val="23"/>
        </w:rPr>
      </w:pPr>
    </w:p>
    <w:p w14:paraId="107E12C2" w14:textId="77777777" w:rsidR="002151FE" w:rsidRPr="00210E9C" w:rsidRDefault="002151FE" w:rsidP="002151FE">
      <w:pPr>
        <w:pStyle w:val="NoSpacing"/>
        <w:jc w:val="both"/>
        <w:rPr>
          <w:rFonts w:ascii="Arial" w:hAnsi="Arial" w:cs="Arial"/>
          <w:b/>
          <w:bCs/>
          <w:color w:val="231F20"/>
          <w:sz w:val="23"/>
          <w:szCs w:val="23"/>
        </w:rPr>
      </w:pPr>
      <w:r w:rsidRPr="00210E9C">
        <w:rPr>
          <w:rFonts w:ascii="Arial" w:hAnsi="Arial" w:cs="Arial"/>
          <w:b/>
          <w:bCs/>
          <w:color w:val="231F20"/>
          <w:sz w:val="23"/>
          <w:szCs w:val="23"/>
        </w:rPr>
        <w:t xml:space="preserve">0 </w:t>
      </w:r>
      <w:r>
        <w:rPr>
          <w:rFonts w:ascii="Arial" w:hAnsi="Arial" w:cs="Arial"/>
          <w:b/>
          <w:bCs/>
          <w:color w:val="231F20"/>
          <w:sz w:val="23"/>
          <w:szCs w:val="23"/>
        </w:rPr>
        <w:t xml:space="preserve">- </w:t>
      </w:r>
      <w:r w:rsidRPr="00210E9C">
        <w:rPr>
          <w:rFonts w:ascii="Arial" w:hAnsi="Arial" w:cs="Arial"/>
          <w:b/>
          <w:bCs/>
          <w:color w:val="231F20"/>
          <w:sz w:val="23"/>
          <w:szCs w:val="23"/>
        </w:rPr>
        <w:t>Materijalna i nematerijalna imovina</w:t>
      </w:r>
    </w:p>
    <w:p w14:paraId="4FA24743" w14:textId="77777777" w:rsidR="002151FE" w:rsidRPr="00210E9C" w:rsidRDefault="002151FE" w:rsidP="002151FE">
      <w:pPr>
        <w:pStyle w:val="NoSpacing"/>
        <w:jc w:val="both"/>
        <w:rPr>
          <w:rFonts w:ascii="Arial" w:hAnsi="Arial" w:cs="Arial"/>
          <w:color w:val="231F20"/>
          <w:sz w:val="23"/>
          <w:szCs w:val="23"/>
        </w:rPr>
      </w:pPr>
      <w:r w:rsidRPr="00210E9C">
        <w:rPr>
          <w:rFonts w:ascii="Arial" w:hAnsi="Arial" w:cs="Arial"/>
          <w:color w:val="231F20"/>
          <w:sz w:val="23"/>
          <w:szCs w:val="23"/>
        </w:rPr>
        <w:t xml:space="preserve">00 </w:t>
      </w:r>
      <w:r w:rsidRPr="008B103F">
        <w:rPr>
          <w:rFonts w:ascii="Arial" w:hAnsi="Arial" w:cs="Arial"/>
          <w:color w:val="231F20"/>
          <w:sz w:val="23"/>
          <w:szCs w:val="23"/>
        </w:rPr>
        <w:t>-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 Materijalna i nematerijalna imovina u pripremi (investicije u </w:t>
      </w:r>
      <w:r>
        <w:rPr>
          <w:rFonts w:ascii="Arial" w:hAnsi="Arial" w:cs="Arial"/>
          <w:color w:val="231F20"/>
          <w:sz w:val="23"/>
          <w:szCs w:val="23"/>
        </w:rPr>
        <w:t>toku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) i </w:t>
      </w:r>
      <w:r>
        <w:rPr>
          <w:rFonts w:ascii="Arial" w:hAnsi="Arial" w:cs="Arial"/>
          <w:color w:val="231F20"/>
          <w:sz w:val="23"/>
          <w:szCs w:val="23"/>
        </w:rPr>
        <w:t>usklađivanje vrijednosti</w:t>
      </w:r>
    </w:p>
    <w:p w14:paraId="1F94A451" w14:textId="77777777" w:rsidR="002151FE" w:rsidRPr="00210E9C" w:rsidRDefault="002151FE" w:rsidP="002151FE">
      <w:pPr>
        <w:pStyle w:val="NoSpacing"/>
        <w:jc w:val="both"/>
        <w:rPr>
          <w:rFonts w:ascii="Arial" w:hAnsi="Arial" w:cs="Arial"/>
          <w:color w:val="231F20"/>
          <w:sz w:val="23"/>
          <w:szCs w:val="23"/>
        </w:rPr>
      </w:pPr>
      <w:r w:rsidRPr="00210E9C">
        <w:rPr>
          <w:rFonts w:ascii="Arial" w:hAnsi="Arial" w:cs="Arial"/>
          <w:color w:val="231F20"/>
          <w:sz w:val="23"/>
          <w:szCs w:val="23"/>
        </w:rPr>
        <w:t xml:space="preserve">01 </w:t>
      </w:r>
      <w:r w:rsidRPr="008B103F">
        <w:rPr>
          <w:rFonts w:ascii="Arial" w:hAnsi="Arial" w:cs="Arial"/>
          <w:color w:val="231F20"/>
          <w:sz w:val="23"/>
          <w:szCs w:val="23"/>
        </w:rPr>
        <w:t>-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 Materijalna i nematerijalna imovina u </w:t>
      </w:r>
      <w:r>
        <w:rPr>
          <w:rFonts w:ascii="Arial" w:hAnsi="Arial" w:cs="Arial"/>
          <w:color w:val="231F20"/>
          <w:sz w:val="23"/>
          <w:szCs w:val="23"/>
        </w:rPr>
        <w:t>sopstvenom korišć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enju i </w:t>
      </w:r>
      <w:r>
        <w:rPr>
          <w:rFonts w:ascii="Arial" w:hAnsi="Arial" w:cs="Arial"/>
          <w:color w:val="231F20"/>
          <w:sz w:val="23"/>
          <w:szCs w:val="23"/>
        </w:rPr>
        <w:t>usklađivanje vrijednosti</w:t>
      </w:r>
    </w:p>
    <w:p w14:paraId="24707C23" w14:textId="77777777" w:rsidR="002151FE" w:rsidRPr="00210E9C" w:rsidRDefault="002151FE" w:rsidP="002151FE">
      <w:pPr>
        <w:pStyle w:val="NoSpacing"/>
        <w:jc w:val="both"/>
        <w:rPr>
          <w:rFonts w:ascii="Arial" w:hAnsi="Arial" w:cs="Arial"/>
          <w:color w:val="231F20"/>
          <w:sz w:val="23"/>
          <w:szCs w:val="23"/>
        </w:rPr>
      </w:pPr>
      <w:r w:rsidRPr="00210E9C">
        <w:rPr>
          <w:rFonts w:ascii="Arial" w:hAnsi="Arial" w:cs="Arial"/>
          <w:color w:val="231F20"/>
          <w:sz w:val="23"/>
          <w:szCs w:val="23"/>
        </w:rPr>
        <w:t xml:space="preserve">02 </w:t>
      </w:r>
      <w:r w:rsidRPr="008B103F">
        <w:rPr>
          <w:rFonts w:ascii="Arial" w:hAnsi="Arial" w:cs="Arial"/>
          <w:color w:val="231F20"/>
          <w:sz w:val="23"/>
          <w:szCs w:val="23"/>
        </w:rPr>
        <w:t>-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 Materijalna imovina koja se drži radi ostvarivanja prihoda od </w:t>
      </w:r>
      <w:r>
        <w:rPr>
          <w:rFonts w:ascii="Arial" w:hAnsi="Arial" w:cs="Arial"/>
          <w:color w:val="231F20"/>
          <w:sz w:val="23"/>
          <w:szCs w:val="23"/>
        </w:rPr>
        <w:t>zakupa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 i </w:t>
      </w:r>
      <w:r>
        <w:rPr>
          <w:rFonts w:ascii="Arial" w:hAnsi="Arial" w:cs="Arial"/>
          <w:color w:val="231F20"/>
          <w:sz w:val="23"/>
          <w:szCs w:val="23"/>
        </w:rPr>
        <w:t>usklađivanje vrijednosti</w:t>
      </w:r>
    </w:p>
    <w:p w14:paraId="0A5713D9" w14:textId="77777777" w:rsidR="002151FE" w:rsidRPr="00210E9C" w:rsidRDefault="002151FE" w:rsidP="002151FE">
      <w:pPr>
        <w:pStyle w:val="NoSpacing"/>
        <w:jc w:val="both"/>
        <w:rPr>
          <w:rFonts w:ascii="Arial" w:hAnsi="Arial" w:cs="Arial"/>
          <w:color w:val="231F20"/>
          <w:sz w:val="23"/>
          <w:szCs w:val="23"/>
        </w:rPr>
      </w:pPr>
      <w:r w:rsidRPr="00210E9C">
        <w:rPr>
          <w:rFonts w:ascii="Arial" w:hAnsi="Arial" w:cs="Arial"/>
          <w:color w:val="231F20"/>
          <w:sz w:val="23"/>
          <w:szCs w:val="23"/>
        </w:rPr>
        <w:t>0</w:t>
      </w:r>
      <w:r>
        <w:rPr>
          <w:rFonts w:ascii="Arial" w:hAnsi="Arial" w:cs="Arial"/>
          <w:color w:val="231F20"/>
          <w:sz w:val="23"/>
          <w:szCs w:val="23"/>
        </w:rPr>
        <w:t>3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 </w:t>
      </w:r>
      <w:r w:rsidRPr="008B103F">
        <w:rPr>
          <w:rFonts w:ascii="Arial" w:hAnsi="Arial" w:cs="Arial"/>
          <w:color w:val="231F20"/>
          <w:sz w:val="23"/>
          <w:szCs w:val="23"/>
        </w:rPr>
        <w:t>-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 Materijalna imovina namijenjena prodaji i </w:t>
      </w:r>
      <w:r>
        <w:rPr>
          <w:rFonts w:ascii="Arial" w:hAnsi="Arial" w:cs="Arial"/>
          <w:color w:val="231F20"/>
          <w:sz w:val="23"/>
          <w:szCs w:val="23"/>
        </w:rPr>
        <w:t>usklađivanje vrijednosti</w:t>
      </w:r>
    </w:p>
    <w:p w14:paraId="49A12A19" w14:textId="77777777" w:rsidR="002151FE" w:rsidRPr="00210E9C" w:rsidRDefault="002151FE" w:rsidP="002151FE">
      <w:pPr>
        <w:pStyle w:val="NoSpacing"/>
        <w:jc w:val="both"/>
        <w:rPr>
          <w:rFonts w:ascii="Arial" w:hAnsi="Arial" w:cs="Arial"/>
          <w:color w:val="231F20"/>
          <w:sz w:val="23"/>
          <w:szCs w:val="23"/>
        </w:rPr>
      </w:pPr>
      <w:r w:rsidRPr="00210E9C">
        <w:rPr>
          <w:rFonts w:ascii="Arial" w:hAnsi="Arial" w:cs="Arial"/>
          <w:color w:val="231F20"/>
          <w:sz w:val="23"/>
          <w:szCs w:val="23"/>
        </w:rPr>
        <w:t>0</w:t>
      </w:r>
      <w:r>
        <w:rPr>
          <w:rFonts w:ascii="Arial" w:hAnsi="Arial" w:cs="Arial"/>
          <w:color w:val="231F20"/>
          <w:sz w:val="23"/>
          <w:szCs w:val="23"/>
        </w:rPr>
        <w:t>4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 </w:t>
      </w:r>
      <w:r w:rsidRPr="008B103F">
        <w:rPr>
          <w:rFonts w:ascii="Arial" w:hAnsi="Arial" w:cs="Arial"/>
          <w:color w:val="231F20"/>
          <w:sz w:val="23"/>
          <w:szCs w:val="23"/>
        </w:rPr>
        <w:t>-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 Roba i </w:t>
      </w:r>
      <w:r>
        <w:rPr>
          <w:rFonts w:ascii="Arial" w:hAnsi="Arial" w:cs="Arial"/>
          <w:color w:val="231F20"/>
          <w:sz w:val="23"/>
          <w:szCs w:val="23"/>
        </w:rPr>
        <w:t>usklađivanje vrijednosti</w:t>
      </w:r>
    </w:p>
    <w:p w14:paraId="46D8D8BF" w14:textId="77777777" w:rsidR="002151FE" w:rsidRPr="00210E9C" w:rsidRDefault="002151FE" w:rsidP="002151FE">
      <w:pPr>
        <w:pStyle w:val="NoSpacing"/>
        <w:jc w:val="both"/>
        <w:rPr>
          <w:rFonts w:ascii="Arial" w:hAnsi="Arial" w:cs="Arial"/>
          <w:color w:val="231F20"/>
          <w:sz w:val="23"/>
          <w:szCs w:val="23"/>
        </w:rPr>
      </w:pPr>
      <w:r w:rsidRPr="00210E9C">
        <w:rPr>
          <w:rFonts w:ascii="Arial" w:hAnsi="Arial" w:cs="Arial"/>
          <w:color w:val="231F20"/>
          <w:sz w:val="23"/>
          <w:szCs w:val="23"/>
        </w:rPr>
        <w:t>0</w:t>
      </w:r>
      <w:r>
        <w:rPr>
          <w:rFonts w:ascii="Arial" w:hAnsi="Arial" w:cs="Arial"/>
          <w:color w:val="231F20"/>
          <w:sz w:val="23"/>
          <w:szCs w:val="23"/>
        </w:rPr>
        <w:t>5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 </w:t>
      </w:r>
      <w:r w:rsidRPr="008B103F">
        <w:rPr>
          <w:rFonts w:ascii="Arial" w:hAnsi="Arial" w:cs="Arial"/>
          <w:color w:val="231F20"/>
          <w:sz w:val="23"/>
          <w:szCs w:val="23"/>
        </w:rPr>
        <w:t>-</w:t>
      </w:r>
      <w:r w:rsidRPr="00210E9C">
        <w:rPr>
          <w:rFonts w:ascii="Arial" w:hAnsi="Arial" w:cs="Arial"/>
          <w:color w:val="231F20"/>
          <w:sz w:val="23"/>
          <w:szCs w:val="23"/>
        </w:rPr>
        <w:t xml:space="preserve"> Ostala </w:t>
      </w:r>
      <w:r>
        <w:rPr>
          <w:rFonts w:ascii="Arial" w:hAnsi="Arial" w:cs="Arial"/>
          <w:color w:val="231F20"/>
          <w:sz w:val="23"/>
          <w:szCs w:val="23"/>
        </w:rPr>
        <w:t>materijalna i nematerijalna imovina</w:t>
      </w:r>
    </w:p>
    <w:p w14:paraId="08000529" w14:textId="77777777" w:rsidR="002151FE" w:rsidRPr="008B103F" w:rsidRDefault="002151FE" w:rsidP="002151FE">
      <w:pPr>
        <w:jc w:val="both"/>
        <w:rPr>
          <w:rFonts w:ascii="Arial" w:hAnsi="Arial" w:cs="Arial"/>
          <w:b/>
          <w:sz w:val="23"/>
          <w:szCs w:val="23"/>
        </w:rPr>
      </w:pPr>
    </w:p>
    <w:p w14:paraId="03D2AD58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1- Novčana sredstva</w:t>
      </w:r>
    </w:p>
    <w:p w14:paraId="4450CC54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10 - Novčana sredstva -</w:t>
      </w:r>
      <w:r w:rsidRPr="008B103F">
        <w:rPr>
          <w:rFonts w:ascii="Arial" w:eastAsiaTheme="minorHAnsi" w:hAnsi="Arial" w:cs="Arial"/>
          <w:sz w:val="23"/>
          <w:szCs w:val="23"/>
        </w:rPr>
        <w:t xml:space="preserve"> </w:t>
      </w:r>
      <w:r w:rsidRPr="008B103F">
        <w:rPr>
          <w:rFonts w:ascii="Arial" w:hAnsi="Arial" w:cs="Arial"/>
          <w:color w:val="231F20"/>
          <w:sz w:val="23"/>
          <w:szCs w:val="23"/>
        </w:rPr>
        <w:t>Gotovina i gotovinski ekvivalenti, gotovina na poslovnim računima u domaćoj i stranoj valuti kod banaka</w:t>
      </w:r>
    </w:p>
    <w:p w14:paraId="6ABB97AB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101 - Poslovni račun - domaća valuta</w:t>
      </w:r>
    </w:p>
    <w:p w14:paraId="39B65D34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102 - Poslovni račun - strana valuta</w:t>
      </w:r>
    </w:p>
    <w:p w14:paraId="242264D1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11 - Potraživanja po osnovu prodaje prenosivih hartija od vrijednosti i instrumenata tržišta novca</w:t>
      </w:r>
    </w:p>
    <w:p w14:paraId="56825FFF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12 - Potraživanja po osnovu prodaje ostalih finansijskih instrumenata</w:t>
      </w:r>
    </w:p>
    <w:p w14:paraId="62A98AB5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13 - Potraživanja po osnovu dividendi, novčanih depozita i otplata obveznica</w:t>
      </w:r>
    </w:p>
    <w:p w14:paraId="1D3B3020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14 - Potraživanja po osnovu datih avansa</w:t>
      </w:r>
    </w:p>
    <w:p w14:paraId="02B20476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15 - Potraživanja od društva za upravljanje</w:t>
      </w:r>
    </w:p>
    <w:p w14:paraId="0261C543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16 - Potraživanja od depozitara</w:t>
      </w:r>
      <w:r>
        <w:rPr>
          <w:rFonts w:ascii="Arial" w:hAnsi="Arial" w:cs="Arial"/>
          <w:color w:val="231F20"/>
          <w:sz w:val="23"/>
          <w:szCs w:val="23"/>
        </w:rPr>
        <w:t xml:space="preserve"> i brokera</w:t>
      </w:r>
    </w:p>
    <w:p w14:paraId="7BD95D20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17 - Ostala potraživanja </w:t>
      </w:r>
      <w:r>
        <w:rPr>
          <w:rFonts w:ascii="Arial" w:hAnsi="Arial" w:cs="Arial"/>
          <w:color w:val="231F20"/>
          <w:sz w:val="23"/>
          <w:szCs w:val="23"/>
        </w:rPr>
        <w:t>AIF-a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</w:p>
    <w:p w14:paraId="5CD697E5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18 - Potraživanja po stečenoj kamati</w:t>
      </w:r>
    </w:p>
    <w:p w14:paraId="2F8E0788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>
        <w:rPr>
          <w:rFonts w:ascii="Arial" w:hAnsi="Arial" w:cs="Arial"/>
          <w:color w:val="231F20"/>
          <w:sz w:val="23"/>
          <w:szCs w:val="23"/>
        </w:rPr>
        <w:t>19 - AVR</w:t>
      </w:r>
    </w:p>
    <w:p w14:paraId="76C3AFFD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4C4376F8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>2 –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Ulaganja </w:t>
      </w:r>
      <w:r>
        <w:rPr>
          <w:rFonts w:ascii="Arial" w:hAnsi="Arial" w:cs="Arial"/>
          <w:b/>
          <w:color w:val="231F20"/>
          <w:sz w:val="23"/>
          <w:szCs w:val="23"/>
        </w:rPr>
        <w:t>AIF-a</w:t>
      </w: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</w:p>
    <w:p w14:paraId="5337DDE3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</w:p>
    <w:p w14:paraId="2148267B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bCs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21 Ulaganja </w:t>
      </w:r>
      <w:r>
        <w:rPr>
          <w:rFonts w:ascii="Arial" w:hAnsi="Arial" w:cs="Arial"/>
          <w:b/>
          <w:color w:val="231F20"/>
          <w:sz w:val="23"/>
          <w:szCs w:val="23"/>
        </w:rPr>
        <w:t xml:space="preserve">AIF-a </w:t>
      </w:r>
      <w:r w:rsidRPr="008B103F">
        <w:rPr>
          <w:rFonts w:ascii="Arial" w:hAnsi="Arial" w:cs="Arial"/>
          <w:b/>
          <w:color w:val="231F20"/>
          <w:sz w:val="23"/>
          <w:szCs w:val="23"/>
        </w:rPr>
        <w:t>u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finansijsku imovinu vrednovanu po fer vrijednosti kroz bilans uspjeha i usklađivanje vrijednosti</w:t>
      </w:r>
    </w:p>
    <w:p w14:paraId="67F90E6E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211 - Prenosive hartije od vrijednosti i usklađivanje vrijednosti</w:t>
      </w:r>
    </w:p>
    <w:p w14:paraId="58AB7251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212 - Finansijski derivati i usklađivanje vrijednosti</w:t>
      </w:r>
    </w:p>
    <w:p w14:paraId="444D7DE5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213 - Instrumenti tržišta novca i usklađivanje vrijednosti</w:t>
      </w:r>
    </w:p>
    <w:p w14:paraId="6BE38651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214 - Udjeli otvorenih investionih fondova sa javnom ponudom i usklađivanje vrijednosti</w:t>
      </w:r>
    </w:p>
    <w:p w14:paraId="12A4C03F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215 - Ulaganja u depozite i usklađivanje vrijednosti</w:t>
      </w:r>
    </w:p>
    <w:p w14:paraId="556FFD3D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216 - Ostali finansijski instrumenti i usklađivanje vrijednosti</w:t>
      </w:r>
    </w:p>
    <w:p w14:paraId="4452EA85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>
        <w:rPr>
          <w:rFonts w:ascii="Arial" w:hAnsi="Arial" w:cs="Arial"/>
          <w:color w:val="231F20"/>
          <w:sz w:val="23"/>
          <w:szCs w:val="23"/>
        </w:rPr>
        <w:t xml:space="preserve">217 - </w:t>
      </w:r>
      <w:r w:rsidRPr="00591344">
        <w:rPr>
          <w:rFonts w:ascii="Arial" w:hAnsi="Arial" w:cs="Arial"/>
          <w:color w:val="231F20"/>
          <w:sz w:val="23"/>
          <w:szCs w:val="23"/>
        </w:rPr>
        <w:t>Ulaganja u poslovne udjele i vrijednosno usklađ</w:t>
      </w:r>
      <w:r>
        <w:rPr>
          <w:rFonts w:ascii="Arial" w:hAnsi="Arial" w:cs="Arial"/>
          <w:color w:val="231F20"/>
          <w:sz w:val="23"/>
          <w:szCs w:val="23"/>
        </w:rPr>
        <w:t>iva</w:t>
      </w:r>
      <w:r w:rsidRPr="00591344">
        <w:rPr>
          <w:rFonts w:ascii="Arial" w:hAnsi="Arial" w:cs="Arial"/>
          <w:color w:val="231F20"/>
          <w:sz w:val="23"/>
          <w:szCs w:val="23"/>
        </w:rPr>
        <w:t>nje</w:t>
      </w:r>
    </w:p>
    <w:p w14:paraId="3BFBD698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>
        <w:rPr>
          <w:rFonts w:ascii="Arial" w:hAnsi="Arial" w:cs="Arial"/>
          <w:color w:val="231F20"/>
          <w:sz w:val="23"/>
          <w:szCs w:val="23"/>
        </w:rPr>
        <w:t>218 – Ulaganja u udjele u drugim subjektima</w:t>
      </w:r>
    </w:p>
    <w:p w14:paraId="47645CBC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70467821" w14:textId="77777777" w:rsidR="002151FE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</w:p>
    <w:p w14:paraId="5A7B700A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>22</w:t>
      </w: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- </w:t>
      </w: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Ulaganja </w:t>
      </w:r>
      <w:r>
        <w:rPr>
          <w:rFonts w:ascii="Arial" w:hAnsi="Arial" w:cs="Arial"/>
          <w:b/>
          <w:color w:val="231F20"/>
          <w:sz w:val="23"/>
          <w:szCs w:val="23"/>
        </w:rPr>
        <w:t xml:space="preserve">AIF-a </w:t>
      </w:r>
      <w:r w:rsidRPr="008B103F">
        <w:rPr>
          <w:rFonts w:ascii="Arial" w:hAnsi="Arial" w:cs="Arial"/>
          <w:b/>
          <w:color w:val="231F20"/>
          <w:sz w:val="23"/>
          <w:szCs w:val="23"/>
        </w:rPr>
        <w:t>u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finansijsku imovinu vrednovanu po fer vrijednosti kroz ostali ukupni rezultat</w:t>
      </w:r>
    </w:p>
    <w:p w14:paraId="4C8618C2" w14:textId="77777777" w:rsidR="002151FE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221 - Prenosive hartije od vrijednosti i usklađivanje vrijednosti</w:t>
      </w:r>
    </w:p>
    <w:p w14:paraId="30C7F315" w14:textId="77777777" w:rsidR="000E7D93" w:rsidRPr="008B103F" w:rsidRDefault="000E7D93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4F709E3F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2E73B393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lastRenderedPageBreak/>
        <w:t xml:space="preserve">23 - </w:t>
      </w: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Ulaganja </w:t>
      </w:r>
      <w:r w:rsidRPr="00970D19">
        <w:rPr>
          <w:rFonts w:ascii="Arial" w:hAnsi="Arial" w:cs="Arial"/>
          <w:b/>
          <w:color w:val="231F20"/>
          <w:sz w:val="23"/>
          <w:szCs w:val="23"/>
        </w:rPr>
        <w:t xml:space="preserve">AIF-a </w:t>
      </w:r>
      <w:r w:rsidRPr="008B103F">
        <w:rPr>
          <w:rFonts w:ascii="Arial" w:hAnsi="Arial" w:cs="Arial"/>
          <w:b/>
          <w:color w:val="231F20"/>
          <w:sz w:val="23"/>
          <w:szCs w:val="23"/>
        </w:rPr>
        <w:t>u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finansijsku imovinu vrednovanu po amortiziranom trošku</w:t>
      </w:r>
    </w:p>
    <w:p w14:paraId="27BCDC54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231 - Prenosive hartije od vrijednosti i usklađivanje vrijednosti</w:t>
      </w:r>
    </w:p>
    <w:p w14:paraId="135D58C3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232 - Instrumenti tržišta novca i usklađivanje vrijednosti</w:t>
      </w:r>
    </w:p>
    <w:p w14:paraId="7F22E6EF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233 - Ulaganja u depozite i usklađivanje vrijednosti</w:t>
      </w:r>
    </w:p>
    <w:p w14:paraId="79026491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234 - Ostala finansijska imovina koja se vrednuje po amortizacionom trošku</w:t>
      </w:r>
    </w:p>
    <w:p w14:paraId="6BD917B8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026FD03B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4- Obaveze fonda</w:t>
      </w:r>
    </w:p>
    <w:p w14:paraId="16940795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40 - Obaveze po osnovu ulaganja u finansijske instrumente</w:t>
      </w:r>
    </w:p>
    <w:p w14:paraId="47F38FAF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41 - Finansijske obaveze koje se vrednuju po fer vrijednosti</w:t>
      </w:r>
    </w:p>
    <w:p w14:paraId="65DC1206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42 - Finansijske obaveze koje se vrednuju po amortizacionom trošku</w:t>
      </w:r>
    </w:p>
    <w:p w14:paraId="46AC6E22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>
        <w:rPr>
          <w:rFonts w:ascii="Arial" w:hAnsi="Arial" w:cs="Arial"/>
          <w:color w:val="231F20"/>
          <w:sz w:val="23"/>
          <w:szCs w:val="23"/>
        </w:rPr>
        <w:t>421 - Obaveze po osnovu primljenih kredita od banaka</w:t>
      </w:r>
    </w:p>
    <w:p w14:paraId="6009F527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43 - Obaveze prema društvu za upravljanje</w:t>
      </w:r>
    </w:p>
    <w:p w14:paraId="790EBB19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44 - Obaveze prema depozitaru</w:t>
      </w:r>
      <w:r>
        <w:rPr>
          <w:rFonts w:ascii="Arial" w:hAnsi="Arial" w:cs="Arial"/>
          <w:color w:val="231F20"/>
          <w:sz w:val="23"/>
          <w:szCs w:val="23"/>
        </w:rPr>
        <w:t xml:space="preserve"> i brokeru</w:t>
      </w:r>
    </w:p>
    <w:p w14:paraId="452C976E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45 - Obaveze prema Komisiji za tržište kapitala</w:t>
      </w:r>
    </w:p>
    <w:p w14:paraId="5ABA3FC9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46 - Obaveze po osnovu dozvoljenih troškova </w:t>
      </w:r>
      <w:r>
        <w:rPr>
          <w:rFonts w:ascii="Arial" w:hAnsi="Arial" w:cs="Arial"/>
          <w:color w:val="231F20"/>
          <w:sz w:val="23"/>
          <w:szCs w:val="23"/>
        </w:rPr>
        <w:t>AIF-a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</w:p>
    <w:p w14:paraId="362DE048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47 - Obaveze prema vlasnicima</w:t>
      </w:r>
    </w:p>
    <w:p w14:paraId="1901F0F7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4</w:t>
      </w:r>
      <w:r>
        <w:rPr>
          <w:rFonts w:ascii="Arial" w:hAnsi="Arial" w:cs="Arial"/>
          <w:color w:val="231F20"/>
          <w:sz w:val="23"/>
          <w:szCs w:val="23"/>
        </w:rPr>
        <w:t>8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- Obaveze po obračunatoj kamati</w:t>
      </w:r>
    </w:p>
    <w:p w14:paraId="7A860027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>
        <w:rPr>
          <w:rFonts w:ascii="Arial" w:hAnsi="Arial" w:cs="Arial"/>
          <w:color w:val="231F20"/>
          <w:sz w:val="23"/>
          <w:szCs w:val="23"/>
        </w:rPr>
        <w:t>49 - PVR</w:t>
      </w:r>
    </w:p>
    <w:p w14:paraId="01C0E2DD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5FCBF427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>5- Rashodi</w:t>
      </w:r>
    </w:p>
    <w:p w14:paraId="2E625B08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</w:pPr>
    </w:p>
    <w:p w14:paraId="0E4B0ABD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>50- Poslovni Rashodi</w:t>
      </w:r>
    </w:p>
    <w:p w14:paraId="6FE7BD6A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501 </w:t>
      </w:r>
      <w:r w:rsidRPr="008B103F">
        <w:rPr>
          <w:rFonts w:ascii="Arial" w:hAnsi="Arial" w:cs="Arial"/>
          <w:sz w:val="23"/>
          <w:szCs w:val="23"/>
        </w:rPr>
        <w:t xml:space="preserve">- Naknada drušvu za upravljanje </w:t>
      </w:r>
    </w:p>
    <w:p w14:paraId="285A73A9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502 - Transakcioni troškovi, koji obuhvataju troškove kupovine i prodaje finansijskih instrumenata i troškove bankarskih usluga</w:t>
      </w:r>
    </w:p>
    <w:p w14:paraId="3113E074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503 - Naknada depozitaru</w:t>
      </w:r>
    </w:p>
    <w:p w14:paraId="6296959C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504 - Naknada eksterne revizije</w:t>
      </w:r>
    </w:p>
    <w:p w14:paraId="45F668D9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505 - Naknada Komisiji za tržište kapitala</w:t>
      </w:r>
    </w:p>
    <w:p w14:paraId="19212B3F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506 - Negativne kursne razlike</w:t>
      </w:r>
    </w:p>
    <w:p w14:paraId="2884BE45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507 - Rashodi po osnovu kamata</w:t>
      </w:r>
    </w:p>
    <w:p w14:paraId="07842141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508 </w:t>
      </w:r>
      <w:r>
        <w:rPr>
          <w:rFonts w:ascii="Arial" w:hAnsi="Arial" w:cs="Arial"/>
          <w:color w:val="231F20"/>
          <w:sz w:val="23"/>
          <w:szCs w:val="23"/>
        </w:rPr>
        <w:t>-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r>
        <w:rPr>
          <w:rFonts w:ascii="Arial" w:hAnsi="Arial" w:cs="Arial"/>
          <w:color w:val="231F20"/>
          <w:sz w:val="23"/>
          <w:szCs w:val="23"/>
        </w:rPr>
        <w:t>Rashodi od unutrašnjeg AIF- a</w:t>
      </w:r>
    </w:p>
    <w:p w14:paraId="72FC7953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>
        <w:rPr>
          <w:rFonts w:ascii="Arial" w:hAnsi="Arial" w:cs="Arial"/>
          <w:color w:val="231F20"/>
          <w:sz w:val="23"/>
          <w:szCs w:val="23"/>
        </w:rPr>
        <w:t xml:space="preserve">509 - 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Ostali dozvoljeni rashodi </w:t>
      </w:r>
      <w:r>
        <w:rPr>
          <w:rFonts w:ascii="Arial" w:hAnsi="Arial" w:cs="Arial"/>
          <w:color w:val="231F20"/>
          <w:sz w:val="23"/>
          <w:szCs w:val="23"/>
        </w:rPr>
        <w:t xml:space="preserve">AIF-a </w:t>
      </w:r>
      <w:r w:rsidRPr="008B103F">
        <w:rPr>
          <w:rFonts w:ascii="Arial" w:hAnsi="Arial" w:cs="Arial"/>
          <w:color w:val="231F20"/>
          <w:sz w:val="23"/>
          <w:szCs w:val="23"/>
        </w:rPr>
        <w:t>koji nijesu navedeni na drugim računima ove grupe</w:t>
      </w:r>
    </w:p>
    <w:p w14:paraId="5AC766A1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2EB90389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>51- Realizovani gubici od prodaje finansijskih instrumenata</w:t>
      </w:r>
      <w:r>
        <w:rPr>
          <w:rFonts w:ascii="Arial" w:hAnsi="Arial" w:cs="Arial"/>
          <w:b/>
          <w:color w:val="231F20"/>
          <w:sz w:val="23"/>
          <w:szCs w:val="23"/>
        </w:rPr>
        <w:t xml:space="preserve"> i ostale imovine</w:t>
      </w:r>
    </w:p>
    <w:p w14:paraId="0AC95878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511 - Realizovani gubici od prodaje finansijskih instrumenata koji se vrednuju po fer vrijednosti kroz bilans uspjeha</w:t>
      </w:r>
    </w:p>
    <w:p w14:paraId="6953A1D3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512 - Realizovani gubici od prodaje finansijskih instrumenata koji se vrednuju po amortizacionom trošku</w:t>
      </w:r>
    </w:p>
    <w:p w14:paraId="4873F843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513 - </w:t>
      </w:r>
      <w:r w:rsidRPr="00264008">
        <w:rPr>
          <w:rFonts w:ascii="Arial" w:hAnsi="Arial" w:cs="Arial"/>
          <w:color w:val="231F20"/>
          <w:sz w:val="23"/>
          <w:szCs w:val="23"/>
          <w:lang w:val="sr-Latn-CS"/>
        </w:rPr>
        <w:t>Realizovani gubici od prodaje materijalne i nematerijane imovine</w:t>
      </w:r>
    </w:p>
    <w:p w14:paraId="24080FAA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52- Nerealizovani gubici </w:t>
      </w:r>
    </w:p>
    <w:p w14:paraId="644DA0C2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sz w:val="23"/>
          <w:szCs w:val="23"/>
        </w:rPr>
      </w:pPr>
      <w:r w:rsidRPr="008B103F">
        <w:rPr>
          <w:rFonts w:ascii="Arial" w:hAnsi="Arial" w:cs="Arial"/>
          <w:sz w:val="23"/>
          <w:szCs w:val="23"/>
        </w:rPr>
        <w:t>521 - Nerealizovani gubici po osnovu finansijskih sredstava po fer vrijednosti kroz bilans uspjeha</w:t>
      </w:r>
    </w:p>
    <w:p w14:paraId="111D0E91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sz w:val="23"/>
          <w:szCs w:val="23"/>
        </w:rPr>
      </w:pPr>
      <w:r w:rsidRPr="008B103F">
        <w:rPr>
          <w:rFonts w:ascii="Arial" w:hAnsi="Arial" w:cs="Arial"/>
          <w:sz w:val="23"/>
          <w:szCs w:val="23"/>
        </w:rPr>
        <w:t>522 - Nerealizovani gubici po osnovu kursnih razlika</w:t>
      </w:r>
    </w:p>
    <w:p w14:paraId="22C48D38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523 – Nerealizovani gubici od materijalne i nematerijalne imovine</w:t>
      </w:r>
    </w:p>
    <w:p w14:paraId="696A6E30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</w:pPr>
    </w:p>
    <w:p w14:paraId="33122744" w14:textId="77777777" w:rsidR="002151FE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</w:pPr>
    </w:p>
    <w:p w14:paraId="5A7930E5" w14:textId="77777777" w:rsidR="002151FE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</w:pPr>
    </w:p>
    <w:p w14:paraId="7655AF2F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6- Prihodi</w:t>
      </w:r>
    </w:p>
    <w:p w14:paraId="502E90CA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</w:pPr>
    </w:p>
    <w:p w14:paraId="257572D2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>60- Poslovni prihodi</w:t>
      </w:r>
    </w:p>
    <w:p w14:paraId="25C2A92C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  <w:bdr w:val="none" w:sz="0" w:space="0" w:color="auto" w:frame="1"/>
        </w:rPr>
        <w:t xml:space="preserve">601- </w:t>
      </w:r>
      <w:r w:rsidRPr="008B103F">
        <w:rPr>
          <w:rFonts w:ascii="Arial" w:hAnsi="Arial" w:cs="Arial"/>
          <w:color w:val="231F20"/>
          <w:sz w:val="23"/>
          <w:szCs w:val="23"/>
        </w:rPr>
        <w:t>Prihodi od kamata</w:t>
      </w:r>
    </w:p>
    <w:p w14:paraId="37E0D061" w14:textId="77777777" w:rsidR="002151FE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bCs/>
          <w:color w:val="231F20"/>
          <w:sz w:val="23"/>
          <w:szCs w:val="23"/>
          <w:bdr w:val="none" w:sz="0" w:space="0" w:color="auto" w:frame="1"/>
        </w:rPr>
      </w:pPr>
      <w:r w:rsidRPr="008B103F">
        <w:rPr>
          <w:rFonts w:ascii="Arial" w:hAnsi="Arial" w:cs="Arial"/>
          <w:bCs/>
          <w:color w:val="231F20"/>
          <w:sz w:val="23"/>
          <w:szCs w:val="23"/>
          <w:bdr w:val="none" w:sz="0" w:space="0" w:color="auto" w:frame="1"/>
        </w:rPr>
        <w:t xml:space="preserve">602 - Prihodi od </w:t>
      </w:r>
      <w:r>
        <w:rPr>
          <w:rFonts w:ascii="Arial" w:hAnsi="Arial" w:cs="Arial"/>
          <w:bCs/>
          <w:color w:val="231F20"/>
          <w:sz w:val="23"/>
          <w:szCs w:val="23"/>
          <w:bdr w:val="none" w:sz="0" w:space="0" w:color="auto" w:frame="1"/>
        </w:rPr>
        <w:t>dividendi</w:t>
      </w:r>
    </w:p>
    <w:p w14:paraId="46A6F972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>
        <w:rPr>
          <w:rFonts w:ascii="Arial" w:hAnsi="Arial" w:cs="Arial"/>
          <w:bCs/>
          <w:color w:val="231F20"/>
          <w:sz w:val="23"/>
          <w:szCs w:val="23"/>
          <w:bdr w:val="none" w:sz="0" w:space="0" w:color="auto" w:frame="1"/>
        </w:rPr>
        <w:t>603 - Prihodi od zakupa</w:t>
      </w:r>
    </w:p>
    <w:p w14:paraId="0EBC6CF3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60</w:t>
      </w:r>
      <w:r>
        <w:rPr>
          <w:rFonts w:ascii="Arial" w:hAnsi="Arial" w:cs="Arial"/>
          <w:color w:val="231F20"/>
          <w:sz w:val="23"/>
          <w:szCs w:val="23"/>
        </w:rPr>
        <w:t>4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- Pozitivne kursne razlike finansijskih instrumenata po fer vrijednosti kroz bilans uspjeha</w:t>
      </w:r>
    </w:p>
    <w:p w14:paraId="6DAC5448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60</w:t>
      </w:r>
      <w:r>
        <w:rPr>
          <w:rFonts w:ascii="Arial" w:hAnsi="Arial" w:cs="Arial"/>
          <w:color w:val="231F20"/>
          <w:sz w:val="23"/>
          <w:szCs w:val="23"/>
        </w:rPr>
        <w:t>5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- Ostali prihodi</w:t>
      </w:r>
    </w:p>
    <w:p w14:paraId="072A3C3B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  <w:bdr w:val="none" w:sz="0" w:space="0" w:color="auto" w:frame="1"/>
        </w:rPr>
      </w:pPr>
    </w:p>
    <w:p w14:paraId="7A555076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>61- Realizovani dobici od prodaje finansijskih instrumenata</w:t>
      </w:r>
      <w:r>
        <w:rPr>
          <w:rFonts w:ascii="Arial" w:hAnsi="Arial" w:cs="Arial"/>
          <w:b/>
          <w:color w:val="231F20"/>
          <w:sz w:val="23"/>
          <w:szCs w:val="23"/>
        </w:rPr>
        <w:t xml:space="preserve"> i ostale imovine</w:t>
      </w:r>
    </w:p>
    <w:p w14:paraId="35FCC570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611- Realizovani dobici od prodaje finansijskih instrumenata koji se vrednuju po fer vrijednosti kroz bilans uspjeha</w:t>
      </w:r>
    </w:p>
    <w:p w14:paraId="3D2F3C38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bookmarkStart w:id="0" w:name="_Hlk210724627"/>
      <w:r>
        <w:rPr>
          <w:rFonts w:ascii="Arial" w:hAnsi="Arial" w:cs="Arial"/>
          <w:color w:val="231F20"/>
          <w:sz w:val="23"/>
          <w:szCs w:val="23"/>
        </w:rPr>
        <w:t>612-</w:t>
      </w:r>
      <w:r w:rsidRPr="008B103F">
        <w:rPr>
          <w:rFonts w:ascii="Arial" w:hAnsi="Arial" w:cs="Arial"/>
          <w:color w:val="231F20"/>
          <w:sz w:val="23"/>
          <w:szCs w:val="23"/>
        </w:rPr>
        <w:t>Realizovani dobici od prodaje finansijskih instrumenata koji se vrednuju po amortizacionom trošku</w:t>
      </w:r>
    </w:p>
    <w:bookmarkEnd w:id="0"/>
    <w:p w14:paraId="582604B6" w14:textId="77777777" w:rsidR="002151FE" w:rsidRPr="00264008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264008">
        <w:rPr>
          <w:rFonts w:ascii="Arial" w:hAnsi="Arial" w:cs="Arial"/>
          <w:color w:val="231F20"/>
          <w:sz w:val="23"/>
          <w:szCs w:val="23"/>
        </w:rPr>
        <w:t>61</w:t>
      </w:r>
      <w:r>
        <w:rPr>
          <w:rFonts w:ascii="Arial" w:hAnsi="Arial" w:cs="Arial"/>
          <w:color w:val="231F20"/>
          <w:sz w:val="23"/>
          <w:szCs w:val="23"/>
        </w:rPr>
        <w:t>3</w:t>
      </w:r>
      <w:r w:rsidRPr="00264008">
        <w:rPr>
          <w:rFonts w:ascii="Arial" w:hAnsi="Arial" w:cs="Arial"/>
          <w:color w:val="231F20"/>
          <w:sz w:val="23"/>
          <w:szCs w:val="23"/>
        </w:rPr>
        <w:t xml:space="preserve"> - Realizovani dobici od prodaje </w:t>
      </w:r>
      <w:r>
        <w:rPr>
          <w:rFonts w:ascii="Arial" w:hAnsi="Arial" w:cs="Arial"/>
          <w:color w:val="231F20"/>
          <w:sz w:val="23"/>
          <w:szCs w:val="23"/>
        </w:rPr>
        <w:t>materijalne i nematerijalne imovine</w:t>
      </w:r>
    </w:p>
    <w:p w14:paraId="458FA830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33340CC2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bCs/>
          <w:color w:val="231F20"/>
          <w:sz w:val="23"/>
          <w:szCs w:val="23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62- Nerealizovani dobici</w:t>
      </w:r>
    </w:p>
    <w:p w14:paraId="6EDA47B7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621 - Nerealizovani dobici po fer vrijednosti</w:t>
      </w:r>
    </w:p>
    <w:p w14:paraId="46FE1E22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622 - Nerealizovani dobici po osnovu kursnih razlika</w:t>
      </w:r>
    </w:p>
    <w:p w14:paraId="1DD6D280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>
        <w:rPr>
          <w:rFonts w:ascii="Arial" w:hAnsi="Arial" w:cs="Arial"/>
          <w:color w:val="231F20"/>
          <w:sz w:val="23"/>
          <w:szCs w:val="23"/>
        </w:rPr>
        <w:t>623 – Nerealizovani dobici od materijalne i nematerijalne imovine</w:t>
      </w:r>
    </w:p>
    <w:p w14:paraId="55562B4D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65C808A7" w14:textId="77777777" w:rsidR="002151FE" w:rsidRPr="008B103F" w:rsidRDefault="002151FE" w:rsidP="002151FE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9 Obaveze prema izvorima imovine </w:t>
      </w:r>
      <w:r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AIF-a</w:t>
      </w: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</w:p>
    <w:p w14:paraId="4600ED26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90 – Izdati/otkupljeni udjeli </w:t>
      </w:r>
      <w:r>
        <w:rPr>
          <w:rFonts w:ascii="Arial" w:hAnsi="Arial" w:cs="Arial"/>
          <w:color w:val="231F20"/>
          <w:sz w:val="23"/>
          <w:szCs w:val="23"/>
        </w:rPr>
        <w:t>AIF-a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fonda</w:t>
      </w:r>
      <w:r>
        <w:rPr>
          <w:rFonts w:ascii="Arial" w:hAnsi="Arial" w:cs="Arial"/>
          <w:color w:val="231F20"/>
          <w:sz w:val="23"/>
          <w:szCs w:val="23"/>
        </w:rPr>
        <w:t>*/upisani osnovni kapital**</w:t>
      </w:r>
    </w:p>
    <w:p w14:paraId="2C9695A9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91 – Dobit/gubitak tekuće poslovne godine</w:t>
      </w:r>
    </w:p>
    <w:p w14:paraId="27F8397B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>92 – Neraspoređena dobit/gubitak iz prethodnih perioda</w:t>
      </w:r>
    </w:p>
    <w:p w14:paraId="78C1E94A" w14:textId="77777777" w:rsidR="002151FE" w:rsidRPr="00210E9C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210E9C">
        <w:rPr>
          <w:rFonts w:ascii="Arial" w:hAnsi="Arial" w:cs="Arial"/>
          <w:color w:val="231F20"/>
          <w:sz w:val="23"/>
          <w:szCs w:val="23"/>
        </w:rPr>
        <w:t>93</w:t>
      </w:r>
      <w:r>
        <w:rPr>
          <w:rFonts w:ascii="Arial" w:hAnsi="Arial" w:cs="Arial"/>
          <w:color w:val="231F20"/>
          <w:sz w:val="23"/>
          <w:szCs w:val="23"/>
        </w:rPr>
        <w:t xml:space="preserve"> </w:t>
      </w:r>
      <w:r w:rsidRPr="00126A38">
        <w:rPr>
          <w:rFonts w:ascii="Arial" w:hAnsi="Arial" w:cs="Arial"/>
          <w:color w:val="231F20"/>
          <w:sz w:val="23"/>
          <w:szCs w:val="23"/>
        </w:rPr>
        <w:t>–</w:t>
      </w:r>
      <w:r>
        <w:rPr>
          <w:rFonts w:ascii="Arial" w:hAnsi="Arial" w:cs="Arial"/>
          <w:color w:val="231F20"/>
          <w:sz w:val="23"/>
          <w:szCs w:val="23"/>
        </w:rPr>
        <w:t xml:space="preserve"> </w:t>
      </w:r>
      <w:r w:rsidRPr="00210E9C">
        <w:rPr>
          <w:rFonts w:ascii="Arial" w:hAnsi="Arial" w:cs="Arial"/>
          <w:color w:val="231F20"/>
          <w:sz w:val="23"/>
          <w:szCs w:val="23"/>
        </w:rPr>
        <w:t>Emisiona premija**</w:t>
      </w:r>
    </w:p>
    <w:p w14:paraId="421FB245" w14:textId="77777777" w:rsidR="002151FE" w:rsidRPr="00210E9C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210E9C">
        <w:rPr>
          <w:rFonts w:ascii="Arial" w:hAnsi="Arial" w:cs="Arial"/>
          <w:color w:val="231F20"/>
          <w:sz w:val="23"/>
          <w:szCs w:val="23"/>
        </w:rPr>
        <w:t xml:space="preserve">94 </w:t>
      </w:r>
      <w:r w:rsidRPr="008B103F">
        <w:rPr>
          <w:rFonts w:ascii="Arial" w:hAnsi="Arial" w:cs="Arial"/>
          <w:color w:val="231F20"/>
          <w:sz w:val="23"/>
          <w:szCs w:val="23"/>
        </w:rPr>
        <w:t>–</w:t>
      </w:r>
      <w:r>
        <w:rPr>
          <w:rFonts w:ascii="Arial" w:hAnsi="Arial" w:cs="Arial"/>
          <w:color w:val="231F20"/>
          <w:sz w:val="23"/>
          <w:szCs w:val="23"/>
        </w:rPr>
        <w:t xml:space="preserve"> </w:t>
      </w:r>
      <w:r w:rsidRPr="00210E9C">
        <w:rPr>
          <w:rFonts w:ascii="Arial" w:hAnsi="Arial" w:cs="Arial"/>
          <w:color w:val="231F20"/>
          <w:sz w:val="23"/>
          <w:szCs w:val="23"/>
        </w:rPr>
        <w:t>Kapitalne reserve**</w:t>
      </w:r>
    </w:p>
    <w:p w14:paraId="5506DA9B" w14:textId="77777777" w:rsidR="002151FE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210E9C">
        <w:rPr>
          <w:rFonts w:ascii="Arial" w:hAnsi="Arial" w:cs="Arial"/>
          <w:color w:val="231F20"/>
          <w:sz w:val="23"/>
          <w:szCs w:val="23"/>
        </w:rPr>
        <w:t xml:space="preserve">95 </w:t>
      </w:r>
      <w:r w:rsidRPr="008B103F">
        <w:rPr>
          <w:rFonts w:ascii="Arial" w:hAnsi="Arial" w:cs="Arial"/>
          <w:color w:val="231F20"/>
          <w:sz w:val="23"/>
          <w:szCs w:val="23"/>
        </w:rPr>
        <w:t>–</w:t>
      </w:r>
      <w:r>
        <w:rPr>
          <w:rFonts w:ascii="Arial" w:hAnsi="Arial" w:cs="Arial"/>
          <w:color w:val="231F20"/>
          <w:sz w:val="23"/>
          <w:szCs w:val="23"/>
        </w:rPr>
        <w:t xml:space="preserve"> </w:t>
      </w:r>
      <w:r w:rsidRPr="00210E9C">
        <w:rPr>
          <w:rFonts w:ascii="Arial" w:hAnsi="Arial" w:cs="Arial"/>
          <w:color w:val="231F20"/>
          <w:sz w:val="23"/>
          <w:szCs w:val="23"/>
        </w:rPr>
        <w:t>Sopstvene akcije**</w:t>
      </w:r>
    </w:p>
    <w:p w14:paraId="02FD4879" w14:textId="77777777" w:rsidR="002151FE" w:rsidRPr="00297DA2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297DA2">
        <w:rPr>
          <w:rFonts w:ascii="Arial" w:hAnsi="Arial" w:cs="Arial"/>
          <w:color w:val="231F20"/>
          <w:sz w:val="23"/>
          <w:szCs w:val="23"/>
        </w:rPr>
        <w:t>96 – Rezerve fer vrijednosti</w:t>
      </w:r>
    </w:p>
    <w:p w14:paraId="49D20D78" w14:textId="77777777" w:rsidR="002151FE" w:rsidRPr="00297DA2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297DA2">
        <w:rPr>
          <w:rFonts w:ascii="Arial" w:hAnsi="Arial" w:cs="Arial"/>
          <w:color w:val="231F20"/>
          <w:sz w:val="23"/>
          <w:szCs w:val="23"/>
        </w:rPr>
        <w:t>96x – Dobici/gubici finansijske imovine – svođenje na fer vrijednost</w:t>
      </w:r>
    </w:p>
    <w:p w14:paraId="1A5B8153" w14:textId="77777777" w:rsidR="002151FE" w:rsidRPr="00297DA2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297DA2">
        <w:rPr>
          <w:rFonts w:ascii="Arial" w:hAnsi="Arial" w:cs="Arial"/>
          <w:color w:val="231F20"/>
          <w:sz w:val="23"/>
          <w:szCs w:val="23"/>
        </w:rPr>
        <w:t>96y – Dobici/gubici od umanjenja vrijednosti za očekivane kreditne gubitke</w:t>
      </w:r>
    </w:p>
    <w:p w14:paraId="437D17A2" w14:textId="77777777" w:rsidR="002151FE" w:rsidRPr="00297DA2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297DA2">
        <w:rPr>
          <w:rFonts w:ascii="Arial" w:hAnsi="Arial" w:cs="Arial"/>
          <w:color w:val="231F20"/>
          <w:sz w:val="23"/>
          <w:szCs w:val="23"/>
        </w:rPr>
        <w:t>96z – Revalorizacione rezerve</w:t>
      </w:r>
    </w:p>
    <w:p w14:paraId="31006A75" w14:textId="77777777" w:rsidR="002151FE" w:rsidRPr="00297DA2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297DA2">
        <w:rPr>
          <w:rFonts w:ascii="Arial" w:hAnsi="Arial" w:cs="Arial"/>
          <w:color w:val="231F20"/>
          <w:sz w:val="23"/>
          <w:szCs w:val="23"/>
        </w:rPr>
        <w:t>990-994 – Vanbilansna aktiva</w:t>
      </w:r>
    </w:p>
    <w:p w14:paraId="7800E4B7" w14:textId="77777777" w:rsidR="002151FE" w:rsidRPr="008B103F" w:rsidRDefault="002151FE" w:rsidP="002151FE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297DA2">
        <w:rPr>
          <w:rFonts w:ascii="Arial" w:hAnsi="Arial" w:cs="Arial"/>
          <w:color w:val="231F20"/>
          <w:sz w:val="23"/>
          <w:szCs w:val="23"/>
        </w:rPr>
        <w:t>995-999 – Vanbilansna pasiva</w:t>
      </w:r>
    </w:p>
    <w:p w14:paraId="555334FE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7424DF7E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*odnosi se na AIF bez svojstva pravnog lica</w:t>
      </w:r>
    </w:p>
    <w:p w14:paraId="459EE234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**odnosi se na AIF sa svojstvom pravnog lica</w:t>
      </w:r>
    </w:p>
    <w:p w14:paraId="7B58C16C" w14:textId="77777777" w:rsidR="002151FE" w:rsidRDefault="002151FE" w:rsidP="00920635">
      <w:pPr>
        <w:ind w:firstLine="720"/>
        <w:jc w:val="both"/>
        <w:rPr>
          <w:rFonts w:ascii="Arial" w:hAnsi="Arial" w:cs="Arial"/>
          <w:sz w:val="23"/>
          <w:szCs w:val="23"/>
        </w:rPr>
      </w:pPr>
    </w:p>
    <w:p w14:paraId="02CD144C" w14:textId="77777777" w:rsidR="002151FE" w:rsidRDefault="002151FE" w:rsidP="000E7D93">
      <w:pPr>
        <w:rPr>
          <w:rFonts w:ascii="Arial" w:hAnsi="Arial" w:cs="Arial"/>
          <w:sz w:val="20"/>
          <w:szCs w:val="20"/>
        </w:rPr>
      </w:pPr>
      <w:bookmarkStart w:id="1" w:name="_GoBack"/>
      <w:bookmarkEnd w:id="1"/>
    </w:p>
    <w:p w14:paraId="10905F6F" w14:textId="77777777" w:rsidR="002151FE" w:rsidRDefault="002151FE" w:rsidP="002151FE">
      <w:pPr>
        <w:jc w:val="right"/>
        <w:rPr>
          <w:rFonts w:ascii="Arial" w:hAnsi="Arial" w:cs="Arial"/>
          <w:sz w:val="20"/>
          <w:szCs w:val="20"/>
        </w:rPr>
      </w:pPr>
    </w:p>
    <w:p w14:paraId="0DA9E52B" w14:textId="77777777" w:rsidR="002151FE" w:rsidRDefault="002151FE" w:rsidP="002151FE">
      <w:pPr>
        <w:jc w:val="right"/>
        <w:rPr>
          <w:rFonts w:ascii="Arial" w:hAnsi="Arial" w:cs="Arial"/>
          <w:sz w:val="20"/>
          <w:szCs w:val="20"/>
        </w:rPr>
      </w:pPr>
    </w:p>
    <w:p w14:paraId="49C963CF" w14:textId="77777777" w:rsidR="002151FE" w:rsidRDefault="002151FE" w:rsidP="002151FE">
      <w:pPr>
        <w:jc w:val="right"/>
        <w:rPr>
          <w:rFonts w:ascii="Arial" w:hAnsi="Arial" w:cs="Arial"/>
          <w:sz w:val="20"/>
          <w:szCs w:val="20"/>
        </w:rPr>
      </w:pPr>
    </w:p>
    <w:p w14:paraId="4E06D716" w14:textId="77777777" w:rsidR="002151FE" w:rsidRDefault="002151FE" w:rsidP="002151FE">
      <w:pPr>
        <w:jc w:val="right"/>
        <w:rPr>
          <w:rFonts w:ascii="Arial" w:hAnsi="Arial" w:cs="Arial"/>
          <w:sz w:val="20"/>
          <w:szCs w:val="20"/>
        </w:rPr>
      </w:pPr>
    </w:p>
    <w:p w14:paraId="77764D7E" w14:textId="77777777" w:rsidR="002151FE" w:rsidRDefault="002151FE" w:rsidP="002151FE">
      <w:pPr>
        <w:jc w:val="right"/>
        <w:rPr>
          <w:rFonts w:ascii="Arial" w:hAnsi="Arial" w:cs="Arial"/>
          <w:sz w:val="20"/>
          <w:szCs w:val="20"/>
        </w:rPr>
      </w:pPr>
    </w:p>
    <w:p w14:paraId="1087C733" w14:textId="77777777" w:rsidR="002151FE" w:rsidRDefault="002151FE" w:rsidP="002151FE">
      <w:pPr>
        <w:jc w:val="right"/>
        <w:rPr>
          <w:rFonts w:ascii="Arial" w:hAnsi="Arial" w:cs="Arial"/>
          <w:sz w:val="20"/>
          <w:szCs w:val="20"/>
        </w:rPr>
      </w:pPr>
    </w:p>
    <w:p w14:paraId="43F19CB6" w14:textId="77777777" w:rsidR="002151FE" w:rsidRDefault="002151FE" w:rsidP="002151FE">
      <w:pPr>
        <w:jc w:val="right"/>
        <w:rPr>
          <w:rFonts w:ascii="Arial" w:hAnsi="Arial" w:cs="Arial"/>
          <w:sz w:val="20"/>
          <w:szCs w:val="20"/>
        </w:rPr>
      </w:pPr>
    </w:p>
    <w:p w14:paraId="2715B9E6" w14:textId="77777777" w:rsidR="002151FE" w:rsidRDefault="002151FE" w:rsidP="002151FE">
      <w:pPr>
        <w:jc w:val="right"/>
        <w:rPr>
          <w:rFonts w:ascii="Arial" w:hAnsi="Arial" w:cs="Arial"/>
          <w:sz w:val="20"/>
          <w:szCs w:val="20"/>
        </w:rPr>
      </w:pPr>
    </w:p>
    <w:sectPr w:rsidR="002151FE" w:rsidSect="000E7D93">
      <w:pgSz w:w="12240" w:h="15840"/>
      <w:pgMar w:top="851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B8FEF" w14:textId="77777777" w:rsidR="000B164F" w:rsidRDefault="000B164F" w:rsidP="00CD1FFB">
      <w:r>
        <w:separator/>
      </w:r>
    </w:p>
  </w:endnote>
  <w:endnote w:type="continuationSeparator" w:id="0">
    <w:p w14:paraId="7C4D78C0" w14:textId="77777777" w:rsidR="000B164F" w:rsidRDefault="000B164F" w:rsidP="00CD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58E43" w14:textId="77777777" w:rsidR="000B164F" w:rsidRDefault="000B164F" w:rsidP="00CD1FFB">
      <w:r>
        <w:separator/>
      </w:r>
    </w:p>
  </w:footnote>
  <w:footnote w:type="continuationSeparator" w:id="0">
    <w:p w14:paraId="66072D83" w14:textId="77777777" w:rsidR="000B164F" w:rsidRDefault="000B164F" w:rsidP="00CD1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26255"/>
    <w:multiLevelType w:val="hybridMultilevel"/>
    <w:tmpl w:val="2BA259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C3FDF"/>
    <w:multiLevelType w:val="hybridMultilevel"/>
    <w:tmpl w:val="52D07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03CBA"/>
    <w:multiLevelType w:val="hybridMultilevel"/>
    <w:tmpl w:val="BCB27B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62BEE"/>
    <w:multiLevelType w:val="hybridMultilevel"/>
    <w:tmpl w:val="39341336"/>
    <w:lvl w:ilvl="0" w:tplc="A2984E7C">
      <w:start w:val="99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A06E0"/>
    <w:multiLevelType w:val="hybridMultilevel"/>
    <w:tmpl w:val="9DA8E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F0509F7"/>
    <w:multiLevelType w:val="hybridMultilevel"/>
    <w:tmpl w:val="3FD2CC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76711"/>
    <w:multiLevelType w:val="hybridMultilevel"/>
    <w:tmpl w:val="E1007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86AAE"/>
    <w:multiLevelType w:val="hybridMultilevel"/>
    <w:tmpl w:val="96E0AFDA"/>
    <w:lvl w:ilvl="0" w:tplc="907661A0">
      <w:start w:val="99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23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E7047"/>
    <w:multiLevelType w:val="hybridMultilevel"/>
    <w:tmpl w:val="B1ACBA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10"/>
  </w:num>
  <w:num w:numId="4">
    <w:abstractNumId w:val="11"/>
  </w:num>
  <w:num w:numId="5">
    <w:abstractNumId w:val="14"/>
  </w:num>
  <w:num w:numId="6">
    <w:abstractNumId w:val="15"/>
  </w:num>
  <w:num w:numId="7">
    <w:abstractNumId w:val="12"/>
  </w:num>
  <w:num w:numId="8">
    <w:abstractNumId w:val="4"/>
  </w:num>
  <w:num w:numId="9">
    <w:abstractNumId w:val="22"/>
  </w:num>
  <w:num w:numId="10">
    <w:abstractNumId w:val="5"/>
  </w:num>
  <w:num w:numId="11">
    <w:abstractNumId w:val="2"/>
  </w:num>
  <w:num w:numId="12">
    <w:abstractNumId w:val="25"/>
  </w:num>
  <w:num w:numId="13">
    <w:abstractNumId w:val="19"/>
  </w:num>
  <w:num w:numId="14">
    <w:abstractNumId w:val="0"/>
  </w:num>
  <w:num w:numId="15">
    <w:abstractNumId w:val="3"/>
  </w:num>
  <w:num w:numId="16">
    <w:abstractNumId w:val="9"/>
  </w:num>
  <w:num w:numId="17">
    <w:abstractNumId w:val="23"/>
  </w:num>
  <w:num w:numId="18">
    <w:abstractNumId w:val="16"/>
  </w:num>
  <w:num w:numId="19">
    <w:abstractNumId w:val="1"/>
  </w:num>
  <w:num w:numId="20">
    <w:abstractNumId w:val="7"/>
  </w:num>
  <w:num w:numId="21">
    <w:abstractNumId w:val="24"/>
  </w:num>
  <w:num w:numId="22">
    <w:abstractNumId w:val="17"/>
  </w:num>
  <w:num w:numId="23">
    <w:abstractNumId w:val="13"/>
  </w:num>
  <w:num w:numId="24">
    <w:abstractNumId w:val="6"/>
  </w:num>
  <w:num w:numId="25">
    <w:abstractNumId w:val="8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C"/>
    <w:rsid w:val="0000444C"/>
    <w:rsid w:val="0002757E"/>
    <w:rsid w:val="0003136B"/>
    <w:rsid w:val="000478C8"/>
    <w:rsid w:val="00050D28"/>
    <w:rsid w:val="00063746"/>
    <w:rsid w:val="00071AFD"/>
    <w:rsid w:val="000A27C8"/>
    <w:rsid w:val="000A47F1"/>
    <w:rsid w:val="000B164F"/>
    <w:rsid w:val="000B3C29"/>
    <w:rsid w:val="000D5F04"/>
    <w:rsid w:val="000E1526"/>
    <w:rsid w:val="000E7D93"/>
    <w:rsid w:val="000F61FF"/>
    <w:rsid w:val="00156004"/>
    <w:rsid w:val="00162D40"/>
    <w:rsid w:val="0018729B"/>
    <w:rsid w:val="00197FE9"/>
    <w:rsid w:val="001A1492"/>
    <w:rsid w:val="001E256C"/>
    <w:rsid w:val="002151FE"/>
    <w:rsid w:val="00285738"/>
    <w:rsid w:val="002C46F2"/>
    <w:rsid w:val="002E478A"/>
    <w:rsid w:val="002F3CB4"/>
    <w:rsid w:val="002F447F"/>
    <w:rsid w:val="003107BC"/>
    <w:rsid w:val="003152DC"/>
    <w:rsid w:val="003169CA"/>
    <w:rsid w:val="00350F60"/>
    <w:rsid w:val="0035197C"/>
    <w:rsid w:val="00355154"/>
    <w:rsid w:val="003676ED"/>
    <w:rsid w:val="003A5531"/>
    <w:rsid w:val="003A6B9F"/>
    <w:rsid w:val="003B7825"/>
    <w:rsid w:val="003F2411"/>
    <w:rsid w:val="00401F94"/>
    <w:rsid w:val="00420015"/>
    <w:rsid w:val="00445B87"/>
    <w:rsid w:val="00446131"/>
    <w:rsid w:val="00462113"/>
    <w:rsid w:val="004E5C7B"/>
    <w:rsid w:val="004F7498"/>
    <w:rsid w:val="00502371"/>
    <w:rsid w:val="005242D9"/>
    <w:rsid w:val="00532AB9"/>
    <w:rsid w:val="00546A34"/>
    <w:rsid w:val="00553A44"/>
    <w:rsid w:val="00565ACD"/>
    <w:rsid w:val="005E47B0"/>
    <w:rsid w:val="005F3244"/>
    <w:rsid w:val="006452B6"/>
    <w:rsid w:val="00651B9F"/>
    <w:rsid w:val="00664747"/>
    <w:rsid w:val="006D0CAF"/>
    <w:rsid w:val="00704F6A"/>
    <w:rsid w:val="007123B8"/>
    <w:rsid w:val="00725A2D"/>
    <w:rsid w:val="007569B0"/>
    <w:rsid w:val="00762FFB"/>
    <w:rsid w:val="00765E6A"/>
    <w:rsid w:val="00791298"/>
    <w:rsid w:val="007D38B2"/>
    <w:rsid w:val="00824B69"/>
    <w:rsid w:val="00836ED8"/>
    <w:rsid w:val="008A6B3C"/>
    <w:rsid w:val="008F7128"/>
    <w:rsid w:val="00903D8C"/>
    <w:rsid w:val="00905D38"/>
    <w:rsid w:val="00906801"/>
    <w:rsid w:val="00920635"/>
    <w:rsid w:val="00947EA6"/>
    <w:rsid w:val="0095224A"/>
    <w:rsid w:val="009805F7"/>
    <w:rsid w:val="009A4EFF"/>
    <w:rsid w:val="009E376B"/>
    <w:rsid w:val="00A23A21"/>
    <w:rsid w:val="00A27145"/>
    <w:rsid w:val="00A367A6"/>
    <w:rsid w:val="00A61DE4"/>
    <w:rsid w:val="00AB27F1"/>
    <w:rsid w:val="00AD0BAE"/>
    <w:rsid w:val="00B159D1"/>
    <w:rsid w:val="00B31502"/>
    <w:rsid w:val="00B330BD"/>
    <w:rsid w:val="00B344C5"/>
    <w:rsid w:val="00B37158"/>
    <w:rsid w:val="00B40B11"/>
    <w:rsid w:val="00B42448"/>
    <w:rsid w:val="00C5266F"/>
    <w:rsid w:val="00CA0376"/>
    <w:rsid w:val="00CD1FFB"/>
    <w:rsid w:val="00D12D03"/>
    <w:rsid w:val="00D62BCA"/>
    <w:rsid w:val="00D643B4"/>
    <w:rsid w:val="00D97CE2"/>
    <w:rsid w:val="00DC12B7"/>
    <w:rsid w:val="00E00F72"/>
    <w:rsid w:val="00E16F4E"/>
    <w:rsid w:val="00E32FC6"/>
    <w:rsid w:val="00EB5022"/>
    <w:rsid w:val="00EE2CC2"/>
    <w:rsid w:val="00EF7EF5"/>
    <w:rsid w:val="00F1314F"/>
    <w:rsid w:val="00F531FD"/>
    <w:rsid w:val="00F54CAA"/>
    <w:rsid w:val="00F6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64D95"/>
  <w15:chartTrackingRefBased/>
  <w15:docId w15:val="{F77B2990-4BC1-4F46-A843-00636647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1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1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1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1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1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1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1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1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30X">
    <w:name w:val="T30X"/>
    <w:basedOn w:val="Normal"/>
    <w:uiPriority w:val="99"/>
    <w:rsid w:val="00836ED8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semiHidden/>
    <w:rsid w:val="00CD1F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D1FF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CD1FF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B27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7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27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7F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1FE"/>
    <w:rPr>
      <w:rFonts w:ascii="Times New Roman" w:eastAsiaTheme="majorEastAsia" w:hAnsi="Times New Roman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1FE"/>
    <w:rPr>
      <w:rFonts w:ascii="Times New Roman" w:eastAsiaTheme="majorEastAsia" w:hAnsi="Times New Roman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1FE"/>
    <w:rPr>
      <w:rFonts w:ascii="Times New Roman" w:eastAsiaTheme="majorEastAsia" w:hAnsi="Times New Roman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1FE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1FE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1FE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1FE"/>
    <w:rPr>
      <w:rFonts w:ascii="Times New Roman" w:eastAsiaTheme="majorEastAsia" w:hAnsi="Times New Roman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151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1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1FE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1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1F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151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1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1FE"/>
    <w:rPr>
      <w:rFonts w:ascii="Times New Roman" w:eastAsia="Times New Roman" w:hAnsi="Times New Roman" w:cs="Times New Roman"/>
      <w:i/>
      <w:iCs/>
      <w:color w:val="2E74B5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151FE"/>
    <w:rPr>
      <w:b/>
      <w:bCs/>
      <w:smallCaps/>
      <w:color w:val="2E74B5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2151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215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15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1F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1FE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1F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1FE"/>
    <w:pPr>
      <w:spacing w:after="0"/>
    </w:pPr>
    <w:rPr>
      <w:rFonts w:ascii="Times New Roman" w:eastAsia="Times New Roman" w:hAnsi="Times New Roman" w:cs="Times New Roman"/>
      <w:b/>
      <w:bCs/>
    </w:rPr>
  </w:style>
  <w:style w:type="paragraph" w:customStyle="1" w:styleId="normalcentar">
    <w:name w:val="normalcentar"/>
    <w:basedOn w:val="Normal"/>
    <w:rsid w:val="002151FE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  <w:lang w:val="en-GB" w:eastAsia="en-GB"/>
    </w:rPr>
  </w:style>
  <w:style w:type="table" w:customStyle="1" w:styleId="TableGrid11">
    <w:name w:val="Table Grid11"/>
    <w:basedOn w:val="TableNormal"/>
    <w:next w:val="TableGrid"/>
    <w:uiPriority w:val="59"/>
    <w:rsid w:val="002151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39"/>
    <w:rsid w:val="00DC12B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569B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A58E0-C5A5-4C7E-B566-86E0C07C6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Marko Todorovic</cp:lastModifiedBy>
  <cp:revision>2</cp:revision>
  <cp:lastPrinted>2025-10-15T08:38:00Z</cp:lastPrinted>
  <dcterms:created xsi:type="dcterms:W3CDTF">2025-11-06T08:16:00Z</dcterms:created>
  <dcterms:modified xsi:type="dcterms:W3CDTF">2025-11-06T08:16:00Z</dcterms:modified>
</cp:coreProperties>
</file>